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0A273DBF" w:rsidR="00E96291" w:rsidRPr="0030343B" w:rsidRDefault="00E96291" w:rsidP="0030343B">
      <w:pPr>
        <w:tabs>
          <w:tab w:val="left" w:pos="1985"/>
        </w:tabs>
        <w:spacing w:after="0"/>
        <w:jc w:val="both"/>
        <w:rPr>
          <w:rFonts w:ascii="Arial" w:eastAsia="SimSun" w:hAnsi="Arial" w:cs="Arial"/>
          <w:b/>
          <w:bCs/>
          <w:sz w:val="22"/>
        </w:rPr>
      </w:pPr>
      <w:bookmarkStart w:id="0" w:name="_Hlk531430562"/>
      <w:r w:rsidRPr="0030343B">
        <w:rPr>
          <w:rFonts w:ascii="Arial" w:eastAsia="SimSun" w:hAnsi="Arial" w:cs="Arial"/>
          <w:b/>
          <w:bCs/>
          <w:sz w:val="22"/>
        </w:rPr>
        <w:t>3GPP TSG RAN meeting #8</w:t>
      </w:r>
      <w:r w:rsidR="000A4002">
        <w:rPr>
          <w:rFonts w:ascii="Arial" w:eastAsia="SimSun" w:hAnsi="Arial" w:cs="Arial"/>
          <w:b/>
          <w:bCs/>
          <w:sz w:val="22"/>
        </w:rPr>
        <w:t>4</w:t>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r>
      <w:r w:rsidRPr="0030343B">
        <w:rPr>
          <w:rFonts w:ascii="Arial" w:eastAsia="SimSun" w:hAnsi="Arial" w:cs="Arial"/>
          <w:b/>
          <w:bCs/>
          <w:sz w:val="22"/>
        </w:rPr>
        <w:tab/>
        <w:t xml:space="preserve">     </w:t>
      </w:r>
      <w:r w:rsidR="00C25AAC" w:rsidRPr="00986F6B">
        <w:rPr>
          <w:rFonts w:ascii="Arial" w:eastAsia="SimSun" w:hAnsi="Arial" w:cs="Arial"/>
          <w:b/>
          <w:bCs/>
          <w:sz w:val="22"/>
        </w:rPr>
        <w:t>RP-1</w:t>
      </w:r>
      <w:r w:rsidR="00986F6B" w:rsidRPr="00986F6B">
        <w:rPr>
          <w:rFonts w:ascii="Arial" w:eastAsia="SimSun" w:hAnsi="Arial" w:cs="Arial"/>
          <w:b/>
          <w:bCs/>
          <w:sz w:val="22"/>
        </w:rPr>
        <w:t>9</w:t>
      </w:r>
      <w:r w:rsidR="000A4002">
        <w:rPr>
          <w:rFonts w:ascii="Arial" w:eastAsia="SimSun" w:hAnsi="Arial" w:cs="Arial"/>
          <w:b/>
          <w:bCs/>
          <w:sz w:val="22"/>
        </w:rPr>
        <w:t>1358</w:t>
      </w:r>
    </w:p>
    <w:p w14:paraId="7CE9ED02" w14:textId="77777777" w:rsidR="000A4002" w:rsidRDefault="000A4002" w:rsidP="0030343B">
      <w:pPr>
        <w:tabs>
          <w:tab w:val="left" w:pos="1985"/>
        </w:tabs>
        <w:spacing w:after="0"/>
        <w:jc w:val="both"/>
        <w:rPr>
          <w:rFonts w:ascii="Arial" w:eastAsia="SimSun" w:hAnsi="Arial" w:cs="Arial"/>
          <w:b/>
          <w:bCs/>
          <w:sz w:val="22"/>
        </w:rPr>
      </w:pPr>
      <w:r>
        <w:rPr>
          <w:rFonts w:ascii="Arial" w:eastAsia="SimSun" w:hAnsi="Arial" w:cs="Arial"/>
          <w:b/>
          <w:bCs/>
          <w:sz w:val="22"/>
        </w:rPr>
        <w:t>Newport Beach, USA</w:t>
      </w:r>
    </w:p>
    <w:p w14:paraId="2EEAFE9C" w14:textId="77668E22" w:rsidR="00E96291" w:rsidRDefault="000A4002" w:rsidP="0030343B">
      <w:pPr>
        <w:tabs>
          <w:tab w:val="left" w:pos="1985"/>
        </w:tabs>
        <w:spacing w:after="0"/>
        <w:jc w:val="both"/>
        <w:rPr>
          <w:rFonts w:ascii="Arial" w:eastAsia="SimSun" w:hAnsi="Arial" w:cs="Arial"/>
          <w:b/>
          <w:bCs/>
          <w:sz w:val="22"/>
        </w:rPr>
      </w:pPr>
      <w:r>
        <w:rPr>
          <w:rFonts w:ascii="Arial" w:eastAsia="SimSun" w:hAnsi="Arial" w:cs="Arial"/>
          <w:b/>
          <w:bCs/>
          <w:sz w:val="22"/>
        </w:rPr>
        <w:t>June 3-6</w:t>
      </w:r>
      <w:r w:rsidR="00E96291" w:rsidRPr="0030343B">
        <w:rPr>
          <w:rFonts w:ascii="Arial" w:eastAsia="SimSun" w:hAnsi="Arial" w:cs="Arial"/>
          <w:b/>
          <w:bCs/>
          <w:sz w:val="22"/>
        </w:rPr>
        <w:t>, 201</w:t>
      </w:r>
      <w:r>
        <w:rPr>
          <w:rFonts w:ascii="Arial" w:eastAsia="SimSun" w:hAnsi="Arial" w:cs="Arial"/>
          <w:b/>
          <w:bCs/>
          <w:sz w:val="22"/>
        </w:rPr>
        <w:t>9</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11B3AD04"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w:t>
      </w:r>
      <w:r w:rsidR="00C3112B">
        <w:rPr>
          <w:rFonts w:ascii="Arial" w:eastAsia="SimSun" w:hAnsi="Arial" w:cs="Arial"/>
          <w:bCs/>
          <w:sz w:val="22"/>
        </w:rPr>
        <w:t>3.</w:t>
      </w:r>
      <w:r w:rsidR="000A4002">
        <w:rPr>
          <w:rFonts w:ascii="Arial" w:eastAsia="SimSun" w:hAnsi="Arial" w:cs="Arial"/>
          <w:bCs/>
          <w:sz w:val="22"/>
        </w:rPr>
        <w:t>3</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3C628E12"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0A4002">
        <w:rPr>
          <w:rFonts w:ascii="Arial" w:eastAsia="SimSun" w:hAnsi="Arial" w:cs="Arial"/>
          <w:bCs/>
          <w:sz w:val="22"/>
        </w:rPr>
        <w:t xml:space="preserve">Design requirements and considerations </w:t>
      </w:r>
      <w:r w:rsidR="00C3112B" w:rsidRPr="00C3112B">
        <w:rPr>
          <w:rFonts w:ascii="Arial" w:eastAsia="SimSun" w:hAnsi="Arial" w:cs="Arial"/>
          <w:bCs/>
          <w:sz w:val="22"/>
        </w:rPr>
        <w:t>for NR&gt;52.6</w:t>
      </w:r>
      <w:r w:rsidR="00040FC3">
        <w:rPr>
          <w:rFonts w:ascii="Arial" w:eastAsia="SimSun" w:hAnsi="Arial" w:cs="Arial"/>
          <w:bCs/>
          <w:sz w:val="22"/>
        </w:rPr>
        <w:t>GHz</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3" w:name="DocumentFor"/>
      <w:bookmarkEnd w:id="3"/>
      <w:r w:rsidRPr="0030343B">
        <w:rPr>
          <w:rFonts w:ascii="Arial" w:eastAsia="SimSun" w:hAnsi="Arial" w:cs="Arial"/>
          <w:bCs/>
          <w:sz w:val="22"/>
        </w:rPr>
        <w:t>Discussion</w:t>
      </w:r>
    </w:p>
    <w:bookmarkEnd w:id="0"/>
    <w:p w14:paraId="2D68D1DD" w14:textId="292FF761" w:rsidR="00275B86" w:rsidRPr="00130771" w:rsidRDefault="000A4002" w:rsidP="000A4002">
      <w:pPr>
        <w:pStyle w:val="Heading1"/>
        <w:rPr>
          <w:rFonts w:eastAsia="SimSun"/>
        </w:rPr>
      </w:pPr>
      <w:r>
        <w:rPr>
          <w:rFonts w:eastAsia="SimSun"/>
        </w:rPr>
        <w:t>1</w:t>
      </w:r>
      <w:r>
        <w:rPr>
          <w:rFonts w:eastAsia="SimSun"/>
        </w:rPr>
        <w:tab/>
        <w:t>I</w:t>
      </w:r>
      <w:r w:rsidR="00275B86" w:rsidRPr="00130771">
        <w:rPr>
          <w:rFonts w:eastAsia="SimSun"/>
        </w:rPr>
        <w:t>ntroduction</w:t>
      </w:r>
    </w:p>
    <w:p w14:paraId="2947DCF5" w14:textId="3996D3B0" w:rsidR="00275B86" w:rsidRDefault="000A4002" w:rsidP="00F82C7A">
      <w:pPr>
        <w:spacing w:after="120"/>
        <w:rPr>
          <w:rFonts w:eastAsia="MS Mincho"/>
          <w:szCs w:val="22"/>
          <w:lang w:eastAsia="zh-CN"/>
        </w:rPr>
      </w:pPr>
      <w:r>
        <w:rPr>
          <w:rFonts w:eastAsia="MS Mincho"/>
          <w:szCs w:val="22"/>
          <w:lang w:eastAsia="zh-CN"/>
        </w:rPr>
        <w:t xml:space="preserve">One of the objectives of the RAN Plenary study on </w:t>
      </w:r>
      <w:r w:rsidR="00040FC3">
        <w:rPr>
          <w:rFonts w:eastAsia="MS Mincho"/>
          <w:szCs w:val="22"/>
          <w:lang w:eastAsia="zh-CN"/>
        </w:rPr>
        <w:t>NR beyond 52.6GHz</w:t>
      </w:r>
      <w:r>
        <w:rPr>
          <w:rFonts w:eastAsia="MS Mincho"/>
          <w:szCs w:val="22"/>
          <w:lang w:eastAsia="zh-CN"/>
        </w:rPr>
        <w:t xml:space="preserve"> according to the SID </w:t>
      </w:r>
      <w:r w:rsidR="00040FC3" w:rsidRPr="00040FC3">
        <w:rPr>
          <w:rFonts w:eastAsia="MS Mincho"/>
          <w:szCs w:val="22"/>
          <w:lang w:eastAsia="zh-CN"/>
        </w:rPr>
        <w:t>[1]</w:t>
      </w:r>
      <w:r>
        <w:rPr>
          <w:rFonts w:eastAsia="MS Mincho"/>
          <w:szCs w:val="22"/>
          <w:lang w:eastAsia="zh-CN"/>
        </w:rPr>
        <w:t xml:space="preserve"> is: </w:t>
      </w:r>
    </w:p>
    <w:p w14:paraId="61E74204" w14:textId="0FAFE7FA" w:rsidR="00040FC3" w:rsidRPr="00040FC3" w:rsidRDefault="00040FC3" w:rsidP="000A4002">
      <w:pPr>
        <w:pStyle w:val="ListParagraph"/>
        <w:numPr>
          <w:ilvl w:val="0"/>
          <w:numId w:val="30"/>
        </w:numPr>
        <w:spacing w:after="0"/>
        <w:rPr>
          <w:bCs/>
          <w:lang w:val="en-US"/>
        </w:rPr>
      </w:pPr>
      <w:r w:rsidRPr="00040FC3">
        <w:rPr>
          <w:bCs/>
          <w:lang w:val="en-US"/>
        </w:rPr>
        <w:t xml:space="preserve">Identify NR design requirements and considerations on top of regulatory requirements </w:t>
      </w:r>
    </w:p>
    <w:p w14:paraId="38470A40" w14:textId="617B4473" w:rsidR="00040FC3" w:rsidRDefault="00040FC3" w:rsidP="00F53FCF">
      <w:pPr>
        <w:rPr>
          <w:rFonts w:eastAsia="MS Mincho"/>
          <w:szCs w:val="22"/>
          <w:lang w:eastAsia="zh-CN"/>
        </w:rPr>
      </w:pPr>
      <w:r>
        <w:rPr>
          <w:bCs/>
        </w:rPr>
        <w:t xml:space="preserve">In this contribution we present our views on </w:t>
      </w:r>
      <w:r w:rsidR="000A4002">
        <w:rPr>
          <w:bCs/>
        </w:rPr>
        <w:t xml:space="preserve">NR design requirements and considerations which we believe are important </w:t>
      </w:r>
      <w:r>
        <w:rPr>
          <w:bCs/>
        </w:rPr>
        <w:t>for NR</w:t>
      </w:r>
      <w:r w:rsidR="000A4002">
        <w:rPr>
          <w:bCs/>
        </w:rPr>
        <w:t xml:space="preserve"> operation</w:t>
      </w:r>
      <w:r>
        <w:rPr>
          <w:bCs/>
        </w:rPr>
        <w:t xml:space="preserve"> beyond 52.6GHz. </w:t>
      </w:r>
    </w:p>
    <w:p w14:paraId="44F47C65" w14:textId="2AA79A97" w:rsidR="00275B86" w:rsidRDefault="000A4002" w:rsidP="000A4002">
      <w:pPr>
        <w:pStyle w:val="Heading1"/>
        <w:rPr>
          <w:rFonts w:eastAsia="SimSun"/>
        </w:rPr>
      </w:pPr>
      <w:r>
        <w:rPr>
          <w:rFonts w:eastAsia="SimSun"/>
        </w:rPr>
        <w:t>2</w:t>
      </w:r>
      <w:r>
        <w:rPr>
          <w:rFonts w:eastAsia="SimSun"/>
        </w:rPr>
        <w:tab/>
      </w:r>
      <w:r w:rsidR="00A9315E">
        <w:rPr>
          <w:rFonts w:eastAsia="SimSun"/>
        </w:rPr>
        <w:t>Characteristics of NR&gt;52.6GHz op</w:t>
      </w:r>
      <w:r w:rsidR="00275B86">
        <w:rPr>
          <w:rFonts w:eastAsia="SimSun"/>
        </w:rPr>
        <w:t xml:space="preserve"> </w:t>
      </w:r>
    </w:p>
    <w:p w14:paraId="7254FCEA" w14:textId="54D9CE90" w:rsidR="00275B86" w:rsidRDefault="00040FC3" w:rsidP="00F53FCF">
      <w:pPr>
        <w:pStyle w:val="B3"/>
        <w:spacing w:after="120" w:line="240" w:lineRule="exact"/>
        <w:ind w:left="0" w:firstLine="0"/>
        <w:rPr>
          <w:lang w:val="en-US"/>
        </w:rPr>
      </w:pPr>
      <w:r>
        <w:rPr>
          <w:lang w:val="en-US"/>
        </w:rPr>
        <w:t>NR beyond 52.6GHz encompasses NR operation between 52.6GHz and 114.25GHz [1]</w:t>
      </w:r>
      <w:r w:rsidR="00924725" w:rsidRPr="00924725">
        <w:rPr>
          <w:lang w:val="en-US"/>
        </w:rPr>
        <w:t xml:space="preserve"> </w:t>
      </w:r>
      <w:r w:rsidR="00924725">
        <w:rPr>
          <w:lang w:val="en-US"/>
        </w:rPr>
        <w:t>which includes both licensed and unlicensed band</w:t>
      </w:r>
      <w:r w:rsidR="000A4002">
        <w:rPr>
          <w:lang w:val="en-US"/>
        </w:rPr>
        <w:t>s</w:t>
      </w:r>
      <w:r>
        <w:rPr>
          <w:lang w:val="en-US"/>
        </w:rPr>
        <w:t xml:space="preserve">. </w:t>
      </w:r>
    </w:p>
    <w:p w14:paraId="42D63CCF" w14:textId="7485E489" w:rsidR="00B279BA" w:rsidRDefault="00664F49" w:rsidP="00F53FCF">
      <w:pPr>
        <w:pStyle w:val="B3"/>
        <w:spacing w:after="120" w:line="240" w:lineRule="exact"/>
        <w:ind w:left="0" w:firstLine="0"/>
        <w:rPr>
          <w:lang w:val="en-US"/>
        </w:rPr>
      </w:pPr>
      <w:r>
        <w:rPr>
          <w:lang w:val="en-US"/>
        </w:rPr>
        <w:t>Some of the important aspects to consider for NR operation at these very high frequencies are summarized as:</w:t>
      </w:r>
    </w:p>
    <w:p w14:paraId="4FDE8FB0" w14:textId="411687C7" w:rsidR="00664F49" w:rsidRDefault="00664F49" w:rsidP="00664F49">
      <w:pPr>
        <w:pStyle w:val="B3"/>
        <w:numPr>
          <w:ilvl w:val="0"/>
          <w:numId w:val="34"/>
        </w:numPr>
        <w:spacing w:after="120" w:line="240" w:lineRule="exact"/>
        <w:rPr>
          <w:lang w:val="en-US"/>
        </w:rPr>
      </w:pPr>
      <w:r>
        <w:rPr>
          <w:lang w:val="en-US"/>
        </w:rPr>
        <w:t xml:space="preserve">Increased phase noise </w:t>
      </w:r>
    </w:p>
    <w:p w14:paraId="4F9D565A" w14:textId="6C8BF262" w:rsidR="00664F49" w:rsidRDefault="00664F49" w:rsidP="00664F49">
      <w:pPr>
        <w:pStyle w:val="B3"/>
        <w:numPr>
          <w:ilvl w:val="0"/>
          <w:numId w:val="34"/>
        </w:numPr>
        <w:spacing w:after="120" w:line="240" w:lineRule="exact"/>
        <w:rPr>
          <w:lang w:val="en-US"/>
        </w:rPr>
      </w:pPr>
      <w:r>
        <w:rPr>
          <w:lang w:val="en-US"/>
        </w:rPr>
        <w:t>GHz bandwidths</w:t>
      </w:r>
    </w:p>
    <w:p w14:paraId="432138C7" w14:textId="1ADFFCBB" w:rsidR="00664F49" w:rsidRDefault="00664F49" w:rsidP="00664F49">
      <w:pPr>
        <w:pStyle w:val="B3"/>
        <w:numPr>
          <w:ilvl w:val="0"/>
          <w:numId w:val="34"/>
        </w:numPr>
        <w:spacing w:after="120" w:line="240" w:lineRule="exact"/>
        <w:rPr>
          <w:lang w:val="en-US"/>
        </w:rPr>
      </w:pPr>
      <w:r>
        <w:rPr>
          <w:lang w:val="en-US"/>
        </w:rPr>
        <w:t>Cyclic prefix (CP) overhead</w:t>
      </w:r>
    </w:p>
    <w:p w14:paraId="606A5586" w14:textId="274B1E8D" w:rsidR="00664F49" w:rsidRDefault="00664F49" w:rsidP="00664F49">
      <w:pPr>
        <w:pStyle w:val="B3"/>
        <w:spacing w:after="120" w:line="240" w:lineRule="exact"/>
        <w:ind w:left="0" w:firstLine="0"/>
        <w:rPr>
          <w:lang w:val="en-US"/>
        </w:rPr>
      </w:pPr>
      <w:r>
        <w:rPr>
          <w:lang w:val="en-US"/>
        </w:rPr>
        <w:t xml:space="preserve">One common difficulty in these very high frequency bands is the increased </w:t>
      </w:r>
      <w:r w:rsidRPr="00B279BA">
        <w:rPr>
          <w:b/>
          <w:lang w:val="en-US"/>
        </w:rPr>
        <w:t>phase noise</w:t>
      </w:r>
      <w:r>
        <w:rPr>
          <w:lang w:val="en-US"/>
        </w:rPr>
        <w:t xml:space="preserve">. </w:t>
      </w:r>
      <w:r w:rsidR="00573B6C">
        <w:rPr>
          <w:lang w:val="en-US"/>
        </w:rPr>
        <w:t xml:space="preserve">To achieve high performance, the phase noise needs to be compensated. OFDM waveform </w:t>
      </w:r>
      <w:r w:rsidR="008042C0">
        <w:rPr>
          <w:lang w:val="en-US"/>
        </w:rPr>
        <w:t xml:space="preserve">can effectively handle different phase noise from one OFDM symbol to another with the </w:t>
      </w:r>
      <w:proofErr w:type="spellStart"/>
      <w:r w:rsidR="008042C0">
        <w:rPr>
          <w:lang w:val="en-US"/>
        </w:rPr>
        <w:t>conherent</w:t>
      </w:r>
      <w:proofErr w:type="spellEnd"/>
      <w:r w:rsidR="008042C0">
        <w:rPr>
          <w:lang w:val="en-US"/>
        </w:rPr>
        <w:t xml:space="preserve"> phase noise within the same OFDM symbol.  </w:t>
      </w:r>
      <w:r w:rsidR="00CE407B">
        <w:rPr>
          <w:lang w:val="en-US"/>
        </w:rPr>
        <w:t>F</w:t>
      </w:r>
      <w:r w:rsidR="008042C0">
        <w:rPr>
          <w:lang w:val="en-US"/>
        </w:rPr>
        <w:t>or a given SCS, the phase noise needs to be coherent within a time duration of T = 1/SCS</w:t>
      </w:r>
      <w:r w:rsidR="00CE407B">
        <w:rPr>
          <w:lang w:val="en-US"/>
        </w:rPr>
        <w:t xml:space="preserve">. </w:t>
      </w:r>
      <w:r w:rsidR="008042C0">
        <w:rPr>
          <w:lang w:val="en-US"/>
        </w:rPr>
        <w:t>On the other hand, single-carrier (SC) waveforms allow additional phase noise correction in time within a</w:t>
      </w:r>
      <w:r w:rsidR="00684FC6">
        <w:rPr>
          <w:lang w:val="en-US"/>
        </w:rPr>
        <w:t>n</w:t>
      </w:r>
      <w:bookmarkStart w:id="4" w:name="_GoBack"/>
      <w:bookmarkEnd w:id="4"/>
      <w:r w:rsidR="008042C0">
        <w:rPr>
          <w:lang w:val="en-US"/>
        </w:rPr>
        <w:t xml:space="preserve"> OFDM symbol duration by distributing phase noise reference signal (PTRS) </w:t>
      </w:r>
      <w:r w:rsidR="00CE407B">
        <w:rPr>
          <w:lang w:val="en-US"/>
        </w:rPr>
        <w:t xml:space="preserve">hence </w:t>
      </w:r>
      <w:proofErr w:type="spellStart"/>
      <w:r w:rsidR="00CE407B">
        <w:rPr>
          <w:lang w:val="en-US"/>
        </w:rPr>
        <w:t>posess</w:t>
      </w:r>
      <w:proofErr w:type="spellEnd"/>
      <w:r w:rsidR="00CE407B">
        <w:rPr>
          <w:lang w:val="en-US"/>
        </w:rPr>
        <w:t xml:space="preserve"> an inherent advantage to cope with phase noise</w:t>
      </w:r>
      <w:r w:rsidR="008042C0">
        <w:rPr>
          <w:lang w:val="en-US"/>
        </w:rPr>
        <w:t xml:space="preserve">. </w:t>
      </w:r>
    </w:p>
    <w:p w14:paraId="52298B97" w14:textId="7C4C3974" w:rsidR="00EB1E1F" w:rsidRDefault="008532A4" w:rsidP="008532A4">
      <w:pPr>
        <w:pStyle w:val="B3"/>
        <w:spacing w:after="120" w:line="240" w:lineRule="exact"/>
        <w:ind w:left="0" w:firstLine="0"/>
        <w:rPr>
          <w:lang w:val="en-US"/>
        </w:rPr>
      </w:pPr>
      <w:r>
        <w:rPr>
          <w:lang w:val="en-US"/>
        </w:rPr>
        <w:t xml:space="preserve">As reported in the SI TR [2], </w:t>
      </w:r>
      <w:proofErr w:type="spellStart"/>
      <w:r>
        <w:rPr>
          <w:lang w:val="en-US"/>
        </w:rPr>
        <w:t>opereation</w:t>
      </w:r>
      <w:proofErr w:type="spellEnd"/>
      <w:r>
        <w:rPr>
          <w:lang w:val="en-US"/>
        </w:rPr>
        <w:t xml:space="preserve"> in these bands may entail transmission </w:t>
      </w:r>
      <w:r w:rsidRPr="00B279BA">
        <w:rPr>
          <w:b/>
          <w:lang w:val="en-US"/>
        </w:rPr>
        <w:t>bandwidths</w:t>
      </w:r>
      <w:r>
        <w:rPr>
          <w:lang w:val="en-US"/>
        </w:rPr>
        <w:t xml:space="preserve"> in the excess of GHz’s. This super-wideband channel bandwidths set the processing </w:t>
      </w:r>
      <w:r w:rsidRPr="00B279BA">
        <w:rPr>
          <w:b/>
          <w:lang w:val="en-US"/>
        </w:rPr>
        <w:t>complexity</w:t>
      </w:r>
      <w:r>
        <w:rPr>
          <w:lang w:val="en-US"/>
        </w:rPr>
        <w:t xml:space="preserve"> of the </w:t>
      </w:r>
      <w:proofErr w:type="spellStart"/>
      <w:r>
        <w:rPr>
          <w:lang w:val="en-US"/>
        </w:rPr>
        <w:t>gNBs</w:t>
      </w:r>
      <w:proofErr w:type="spellEnd"/>
      <w:r>
        <w:rPr>
          <w:lang w:val="en-US"/>
        </w:rPr>
        <w:t xml:space="preserve"> and UEs operating on these bands which we should carefully watch in order to guarantee feasible implementations with reasonable complexity. </w:t>
      </w:r>
      <w:r w:rsidR="00C6354E" w:rsidRPr="00C6354E">
        <w:rPr>
          <w:lang w:val="en-US"/>
        </w:rPr>
        <w:t>For th</w:t>
      </w:r>
      <w:r w:rsidR="00C6354E">
        <w:rPr>
          <w:lang w:val="en-US"/>
        </w:rPr>
        <w:t xml:space="preserve">ese </w:t>
      </w:r>
      <w:r w:rsidR="00C6354E" w:rsidRPr="00C6354E">
        <w:rPr>
          <w:lang w:val="en-US"/>
        </w:rPr>
        <w:t xml:space="preserve">large bandwidths, it is necessary to consider increasing the </w:t>
      </w:r>
      <w:r w:rsidR="00C6354E">
        <w:rPr>
          <w:lang w:val="en-US"/>
        </w:rPr>
        <w:t>SCS</w:t>
      </w:r>
      <w:r w:rsidR="00C6354E" w:rsidRPr="00C6354E">
        <w:rPr>
          <w:lang w:val="en-US"/>
        </w:rPr>
        <w:t xml:space="preserve"> </w:t>
      </w:r>
      <w:proofErr w:type="spellStart"/>
      <w:r w:rsidR="00C6354E" w:rsidRPr="00C6354E">
        <w:rPr>
          <w:lang w:val="en-US"/>
        </w:rPr>
        <w:t>w.r.t.</w:t>
      </w:r>
      <w:proofErr w:type="spellEnd"/>
      <w:r w:rsidR="00C6354E" w:rsidRPr="00C6354E">
        <w:rPr>
          <w:lang w:val="en-US"/>
        </w:rPr>
        <w:t xml:space="preserve"> those values considered thus far for NR (e.g., NR supports 120kHz for data channels as largest SCS).</w:t>
      </w:r>
      <w:r w:rsidR="00C6354E">
        <w:rPr>
          <w:lang w:val="en-US"/>
        </w:rPr>
        <w:t xml:space="preserve"> The following increased SCS values should be considered: 960kHz, 1.92MHz and 3.84MHz. The higher the SCS, the better </w:t>
      </w:r>
      <w:proofErr w:type="spellStart"/>
      <w:r w:rsidR="00C6354E">
        <w:rPr>
          <w:lang w:val="en-US"/>
        </w:rPr>
        <w:t>hanlding</w:t>
      </w:r>
      <w:proofErr w:type="spellEnd"/>
      <w:r w:rsidR="00C6354E">
        <w:rPr>
          <w:lang w:val="en-US"/>
        </w:rPr>
        <w:t xml:space="preserve"> of phase noise there is, however, at the expense of a larger cyclic </w:t>
      </w:r>
      <w:proofErr w:type="spellStart"/>
      <w:r w:rsidR="00C6354E">
        <w:rPr>
          <w:lang w:val="en-US"/>
        </w:rPr>
        <w:t>overhad</w:t>
      </w:r>
      <w:proofErr w:type="spellEnd"/>
      <w:r w:rsidR="00C6354E">
        <w:rPr>
          <w:lang w:val="en-US"/>
        </w:rPr>
        <w:t xml:space="preserve"> as explained below. </w:t>
      </w:r>
    </w:p>
    <w:p w14:paraId="66A90DF2" w14:textId="0AD9D494" w:rsidR="00C6354E" w:rsidRDefault="00B279BA" w:rsidP="008532A4">
      <w:pPr>
        <w:pStyle w:val="B3"/>
        <w:spacing w:after="120" w:line="240" w:lineRule="exact"/>
        <w:ind w:left="0" w:firstLine="0"/>
        <w:rPr>
          <w:lang w:val="en-US"/>
        </w:rPr>
      </w:pPr>
      <w:r>
        <w:rPr>
          <w:lang w:val="en-US"/>
        </w:rPr>
        <w:t xml:space="preserve">Frequency </w:t>
      </w:r>
      <w:proofErr w:type="gramStart"/>
      <w:r>
        <w:rPr>
          <w:lang w:val="en-US"/>
        </w:rPr>
        <w:t>domain based</w:t>
      </w:r>
      <w:proofErr w:type="gramEnd"/>
      <w:r>
        <w:rPr>
          <w:lang w:val="en-US"/>
        </w:rPr>
        <w:t xml:space="preserve"> processing rely on ISI free transmissions. ISI free transmission is typically attained by the insertion of a </w:t>
      </w:r>
      <w:r w:rsidRPr="00B279BA">
        <w:rPr>
          <w:b/>
          <w:lang w:val="en-US"/>
        </w:rPr>
        <w:t>cyclic prefix</w:t>
      </w:r>
      <w:r>
        <w:rPr>
          <w:lang w:val="en-US"/>
        </w:rPr>
        <w:t xml:space="preserve"> (CP) prior to every block of symbols which are meant to be processed jointly in frequency domain. While CP duration typically is governed by the expected channel delay spread of the deployment in question, the relative overhead of the CP depends on the symbol duration itself. Shorter symbols entail larger CP overhead and vice-versa. </w:t>
      </w:r>
      <w:r w:rsidR="00C6354E">
        <w:rPr>
          <w:lang w:val="en-US"/>
        </w:rPr>
        <w:t>Larger SCS entail</w:t>
      </w:r>
      <w:r w:rsidR="00294C19">
        <w:rPr>
          <w:lang w:val="en-US"/>
        </w:rPr>
        <w:t>s</w:t>
      </w:r>
      <w:r w:rsidR="00C6354E">
        <w:rPr>
          <w:lang w:val="en-US"/>
        </w:rPr>
        <w:t xml:space="preserve"> shorter symbol durations, and hence, larger CP </w:t>
      </w:r>
      <w:r w:rsidR="00C6354E">
        <w:rPr>
          <w:lang w:val="en-US"/>
        </w:rPr>
        <w:lastRenderedPageBreak/>
        <w:t xml:space="preserve">overhead. </w:t>
      </w:r>
      <w:r w:rsidR="00B274AE">
        <w:rPr>
          <w:lang w:val="en-US"/>
        </w:rPr>
        <w:t xml:space="preserve">CP duration to OFDM symbol duration ratio is kept the same in NR for </w:t>
      </w:r>
      <w:proofErr w:type="spellStart"/>
      <w:r w:rsidR="00B274AE">
        <w:rPr>
          <w:lang w:val="en-US"/>
        </w:rPr>
        <w:t>differet</w:t>
      </w:r>
      <w:proofErr w:type="spellEnd"/>
      <w:r w:rsidR="00B274AE">
        <w:rPr>
          <w:lang w:val="en-US"/>
        </w:rPr>
        <w:t xml:space="preserve"> numerologies, for this reason, the CP overhead remains the same across SCSs in NR.  </w:t>
      </w:r>
    </w:p>
    <w:p w14:paraId="05D7074B" w14:textId="60A5BDEE" w:rsidR="00A9315E" w:rsidRDefault="00A9315E" w:rsidP="00040FC3">
      <w:pPr>
        <w:pStyle w:val="B3"/>
        <w:spacing w:after="120" w:line="240" w:lineRule="exact"/>
        <w:ind w:left="0" w:firstLine="0"/>
        <w:rPr>
          <w:lang w:val="en-US"/>
        </w:rPr>
      </w:pPr>
      <w:r>
        <w:rPr>
          <w:lang w:val="en-US"/>
        </w:rPr>
        <w:t xml:space="preserve">In order to maximize the usability of this spectrum at reasonable deployment costs, coverage becomes a critical measure. Next section will discuss techniques that one can exploit to maximize coverage at these very high frequency bands. </w:t>
      </w:r>
    </w:p>
    <w:p w14:paraId="64E0F31D" w14:textId="5DCAE3BA" w:rsidR="000A4002" w:rsidRDefault="000A4002" w:rsidP="000A4002">
      <w:pPr>
        <w:pStyle w:val="Heading2"/>
        <w:rPr>
          <w:lang w:val="en-US"/>
        </w:rPr>
      </w:pPr>
      <w:r>
        <w:rPr>
          <w:lang w:val="en-US"/>
        </w:rPr>
        <w:t>2.</w:t>
      </w:r>
      <w:r w:rsidR="00C6354E">
        <w:rPr>
          <w:lang w:val="en-US"/>
        </w:rPr>
        <w:t>1</w:t>
      </w:r>
      <w:r>
        <w:rPr>
          <w:lang w:val="en-US"/>
        </w:rPr>
        <w:tab/>
      </w:r>
      <w:r w:rsidR="00C6354E">
        <w:rPr>
          <w:lang w:val="en-US"/>
        </w:rPr>
        <w:t>Coverage enhancing techniques</w:t>
      </w:r>
    </w:p>
    <w:p w14:paraId="022F49E8" w14:textId="366606A4" w:rsidR="00C6354E" w:rsidRDefault="00C6354E" w:rsidP="00C6354E">
      <w:pPr>
        <w:pStyle w:val="B3"/>
        <w:spacing w:after="120" w:line="240" w:lineRule="exact"/>
        <w:ind w:left="0" w:firstLine="0"/>
        <w:rPr>
          <w:lang w:val="en-US"/>
        </w:rPr>
      </w:pPr>
      <w:r>
        <w:rPr>
          <w:lang w:val="en-US"/>
        </w:rPr>
        <w:t>In this section we cover some coverage enhancement techniques which should be looked at carefully:</w:t>
      </w:r>
    </w:p>
    <w:p w14:paraId="6801E661" w14:textId="77777777" w:rsidR="00A9315E" w:rsidRDefault="00C6354E" w:rsidP="00C6354E">
      <w:pPr>
        <w:pStyle w:val="B3"/>
        <w:spacing w:after="120" w:line="240" w:lineRule="exact"/>
        <w:ind w:left="0" w:firstLine="0"/>
        <w:rPr>
          <w:lang w:val="en-US"/>
        </w:rPr>
      </w:pPr>
      <w:r>
        <w:rPr>
          <w:b/>
          <w:lang w:val="en-US"/>
        </w:rPr>
        <w:t xml:space="preserve">Reduced </w:t>
      </w:r>
      <w:r w:rsidRPr="00C6354E">
        <w:rPr>
          <w:b/>
          <w:lang w:val="en-US"/>
        </w:rPr>
        <w:t xml:space="preserve">PA </w:t>
      </w:r>
      <w:proofErr w:type="spellStart"/>
      <w:r w:rsidRPr="00C6354E">
        <w:rPr>
          <w:b/>
          <w:lang w:val="en-US"/>
        </w:rPr>
        <w:t>backoff</w:t>
      </w:r>
      <w:proofErr w:type="spellEnd"/>
      <w:r>
        <w:rPr>
          <w:lang w:val="en-US"/>
        </w:rPr>
        <w:t xml:space="preserve">: The lower PAPR enables the possibility of reducing the necessary PA </w:t>
      </w:r>
      <w:proofErr w:type="spellStart"/>
      <w:r>
        <w:rPr>
          <w:lang w:val="en-US"/>
        </w:rPr>
        <w:t>backoff</w:t>
      </w:r>
      <w:proofErr w:type="spellEnd"/>
      <w:r>
        <w:rPr>
          <w:lang w:val="en-US"/>
        </w:rPr>
        <w:t xml:space="preserve"> for transmission. Therefore, the difference in PA </w:t>
      </w:r>
      <w:proofErr w:type="spellStart"/>
      <w:r>
        <w:rPr>
          <w:lang w:val="en-US"/>
        </w:rPr>
        <w:t>backoff</w:t>
      </w:r>
      <w:proofErr w:type="spellEnd"/>
      <w:r w:rsidR="00A9315E">
        <w:rPr>
          <w:lang w:val="en-US"/>
        </w:rPr>
        <w:t xml:space="preserve"> between different transmission candidates</w:t>
      </w:r>
      <w:r>
        <w:rPr>
          <w:lang w:val="en-US"/>
        </w:rPr>
        <w:t xml:space="preserve"> equates into a direct coverage gain. </w:t>
      </w:r>
    </w:p>
    <w:p w14:paraId="1F3CA2F6" w14:textId="0203D4A8" w:rsidR="00C6354E" w:rsidRDefault="00A9315E" w:rsidP="00C6354E">
      <w:pPr>
        <w:pStyle w:val="B3"/>
        <w:spacing w:after="120" w:line="240" w:lineRule="exact"/>
        <w:ind w:left="0" w:firstLine="0"/>
        <w:rPr>
          <w:lang w:val="en-US"/>
        </w:rPr>
      </w:pPr>
      <w:r>
        <w:rPr>
          <w:lang w:val="en-US"/>
        </w:rPr>
        <w:t>Single-carrier waveforms enjoy lower PAPR than multi-</w:t>
      </w:r>
      <w:proofErr w:type="gramStart"/>
      <w:r>
        <w:rPr>
          <w:lang w:val="en-US"/>
        </w:rPr>
        <w:t>carrier based</w:t>
      </w:r>
      <w:proofErr w:type="gramEnd"/>
      <w:r>
        <w:rPr>
          <w:lang w:val="en-US"/>
        </w:rPr>
        <w:t xml:space="preserve"> waveforms, e.g., OFDM. As a </w:t>
      </w:r>
      <w:proofErr w:type="spellStart"/>
      <w:r>
        <w:rPr>
          <w:lang w:val="en-US"/>
        </w:rPr>
        <w:t>resut</w:t>
      </w:r>
      <w:proofErr w:type="spellEnd"/>
      <w:r>
        <w:rPr>
          <w:lang w:val="en-US"/>
        </w:rPr>
        <w:t xml:space="preserve">, the </w:t>
      </w:r>
      <w:r w:rsidRPr="00A9315E">
        <w:rPr>
          <w:i/>
          <w:lang w:val="en-US"/>
        </w:rPr>
        <w:t>waveform</w:t>
      </w:r>
      <w:r>
        <w:rPr>
          <w:lang w:val="en-US"/>
        </w:rPr>
        <w:t xml:space="preserve"> choice for NR definition beyond 52.6GHz needs to be considered. </w:t>
      </w:r>
    </w:p>
    <w:p w14:paraId="09A7B628" w14:textId="77777777" w:rsidR="00A9315E" w:rsidRDefault="00C6354E" w:rsidP="00C6354E">
      <w:pPr>
        <w:pStyle w:val="B3"/>
        <w:spacing w:after="120" w:line="240" w:lineRule="exact"/>
        <w:ind w:left="0" w:firstLine="0"/>
        <w:rPr>
          <w:lang w:val="en-US"/>
        </w:rPr>
      </w:pPr>
      <w:r w:rsidRPr="00C6354E">
        <w:rPr>
          <w:b/>
          <w:lang w:val="en-US"/>
        </w:rPr>
        <w:t>Beamforming</w:t>
      </w:r>
      <w:r>
        <w:rPr>
          <w:lang w:val="en-US"/>
        </w:rPr>
        <w:t xml:space="preserve">: transmissions at these very high frequency ranges are well suited for analog beamforming which increase coverage while reducing interference to adjacent communication links. At this very high frequency ranges, pencil-beams are possible, however, how many antenna elements one can pack for a given frequency range, effectively. highly depends on the actual maximum EIRP limits. </w:t>
      </w:r>
    </w:p>
    <w:p w14:paraId="7444831E" w14:textId="1DC88F82" w:rsidR="00C6354E" w:rsidRDefault="00C6354E" w:rsidP="00C6354E">
      <w:pPr>
        <w:pStyle w:val="B3"/>
        <w:spacing w:after="120" w:line="240" w:lineRule="exact"/>
        <w:ind w:left="0" w:firstLine="0"/>
        <w:rPr>
          <w:lang w:val="en-US"/>
        </w:rPr>
      </w:pPr>
      <w:r>
        <w:rPr>
          <w:lang w:val="en-US"/>
        </w:rPr>
        <w:t xml:space="preserve">Note that certain bands have lower EIRP limits (e.g., 60GHz band has 40dB EIRP limit) while others </w:t>
      </w:r>
      <w:proofErr w:type="spellStart"/>
      <w:r>
        <w:rPr>
          <w:lang w:val="en-US"/>
        </w:rPr>
        <w:t>haver</w:t>
      </w:r>
      <w:proofErr w:type="spellEnd"/>
      <w:r>
        <w:rPr>
          <w:lang w:val="en-US"/>
        </w:rPr>
        <w:t xml:space="preserve"> larger EIRP limits (e.g., 85dBm in 71-76</w:t>
      </w:r>
      <w:r w:rsidR="00A9315E">
        <w:rPr>
          <w:lang w:val="en-US"/>
        </w:rPr>
        <w:t>GHz</w:t>
      </w:r>
      <w:r>
        <w:rPr>
          <w:lang w:val="en-US"/>
        </w:rPr>
        <w:t xml:space="preserve"> and 81-86GHz bands). </w:t>
      </w:r>
    </w:p>
    <w:p w14:paraId="24DB7E52" w14:textId="264E865B" w:rsidR="000A4002" w:rsidRDefault="00002AC6" w:rsidP="007C18F0">
      <w:pPr>
        <w:spacing w:line="240" w:lineRule="exact"/>
        <w:rPr>
          <w:lang w:val="en-US"/>
        </w:rPr>
      </w:pPr>
      <w:r w:rsidRPr="00C6354E">
        <w:rPr>
          <w:b/>
          <w:lang w:val="en-US"/>
        </w:rPr>
        <w:t>Limited BW operation</w:t>
      </w:r>
      <w:r w:rsidR="00C6354E">
        <w:rPr>
          <w:lang w:val="en-US"/>
        </w:rPr>
        <w:t xml:space="preserve">: </w:t>
      </w:r>
      <w:r w:rsidR="00EB1E1F">
        <w:rPr>
          <w:lang w:val="en-US"/>
        </w:rPr>
        <w:t>Channel estimation l</w:t>
      </w:r>
      <w:r w:rsidR="00A9315E">
        <w:rPr>
          <w:lang w:val="en-US"/>
        </w:rPr>
        <w:t xml:space="preserve">oss </w:t>
      </w:r>
      <w:r w:rsidR="00EB1E1F">
        <w:rPr>
          <w:lang w:val="en-US"/>
        </w:rPr>
        <w:t>at very low SINRs</w:t>
      </w:r>
      <w:r w:rsidR="00A9315E">
        <w:rPr>
          <w:lang w:val="en-US"/>
        </w:rPr>
        <w:t xml:space="preserve"> has been </w:t>
      </w:r>
      <w:r w:rsidR="007C18F0">
        <w:rPr>
          <w:lang w:val="en-US"/>
        </w:rPr>
        <w:t xml:space="preserve">identified </w:t>
      </w:r>
      <w:r w:rsidR="00A9315E">
        <w:rPr>
          <w:lang w:val="en-US"/>
        </w:rPr>
        <w:t xml:space="preserve">to be one of the main limiting factors in enabling reliable communications at low SINRs (cell-edge). Limited BW operation has been proven to be an efficient technique to improve channel estimation at low SINRs by increasing the corresponding PSD of the limited BW transmission. </w:t>
      </w:r>
    </w:p>
    <w:p w14:paraId="08EA4A52" w14:textId="6A1B22AB" w:rsidR="00A9315E" w:rsidRDefault="00A9315E" w:rsidP="00A9315E">
      <w:pPr>
        <w:pStyle w:val="Heading2"/>
        <w:rPr>
          <w:lang w:val="en-US"/>
        </w:rPr>
      </w:pPr>
      <w:r>
        <w:rPr>
          <w:lang w:val="en-US"/>
        </w:rPr>
        <w:t>2.2</w:t>
      </w:r>
      <w:r>
        <w:rPr>
          <w:lang w:val="en-US"/>
        </w:rPr>
        <w:tab/>
        <w:t>Waveform</w:t>
      </w:r>
    </w:p>
    <w:p w14:paraId="3F66821C" w14:textId="626A91AD" w:rsidR="00A9315E" w:rsidRDefault="00A9315E" w:rsidP="00A9315E">
      <w:pPr>
        <w:pStyle w:val="B3"/>
        <w:spacing w:after="120" w:line="240" w:lineRule="exact"/>
        <w:ind w:left="0" w:firstLine="0"/>
        <w:rPr>
          <w:lang w:val="en-US"/>
        </w:rPr>
      </w:pPr>
      <w:r>
        <w:rPr>
          <w:lang w:val="en-US"/>
        </w:rPr>
        <w:t xml:space="preserve">Note that some of the aspects discussed in this contribution, namely, ability to handle increased phase noise and reduced PA </w:t>
      </w:r>
      <w:proofErr w:type="spellStart"/>
      <w:r>
        <w:rPr>
          <w:lang w:val="en-US"/>
        </w:rPr>
        <w:t>backoff</w:t>
      </w:r>
      <w:proofErr w:type="spellEnd"/>
      <w:r w:rsidR="00294C19">
        <w:rPr>
          <w:lang w:val="en-US"/>
        </w:rPr>
        <w:t>,</w:t>
      </w:r>
      <w:r>
        <w:rPr>
          <w:lang w:val="en-US"/>
        </w:rPr>
        <w:t xml:space="preserve"> grant </w:t>
      </w:r>
      <w:r w:rsidR="007C18F0">
        <w:rPr>
          <w:lang w:val="en-US"/>
        </w:rPr>
        <w:t xml:space="preserve">the merit of investigating SC waveforms for NR&gt;52.6GHz. </w:t>
      </w:r>
    </w:p>
    <w:p w14:paraId="1BB88C39" w14:textId="18572A7C" w:rsidR="007C18F0" w:rsidRDefault="007C18F0" w:rsidP="00A9315E">
      <w:pPr>
        <w:pStyle w:val="B3"/>
        <w:spacing w:after="120" w:line="240" w:lineRule="exact"/>
        <w:ind w:left="0" w:firstLine="0"/>
        <w:rPr>
          <w:lang w:val="en-US"/>
        </w:rPr>
      </w:pPr>
      <w:r>
        <w:rPr>
          <w:lang w:val="en-US"/>
        </w:rPr>
        <w:t xml:space="preserve">NR Rel-15 defines CP-OFDM for the DL, and CP-OFDM and DFT-S-OFDM for the UL. </w:t>
      </w:r>
      <w:r w:rsidR="00294C19">
        <w:rPr>
          <w:lang w:val="en-US"/>
        </w:rPr>
        <w:t xml:space="preserve">Note that DFT-S-OFDM based UL is limited to single layer transmissions (no MIMO). </w:t>
      </w:r>
    </w:p>
    <w:p w14:paraId="6094E9B9" w14:textId="49D5FF9B" w:rsidR="007C18F0" w:rsidRDefault="007C18F0" w:rsidP="00A9315E">
      <w:pPr>
        <w:pStyle w:val="B3"/>
        <w:spacing w:after="120" w:line="240" w:lineRule="exact"/>
        <w:ind w:left="0" w:firstLine="0"/>
        <w:rPr>
          <w:lang w:val="en-US"/>
        </w:rPr>
      </w:pPr>
      <w:r>
        <w:rPr>
          <w:lang w:val="en-US"/>
        </w:rPr>
        <w:t xml:space="preserve">SC waveforms provide an advantage in terms of better handling of phase noise and reduced PA </w:t>
      </w:r>
      <w:proofErr w:type="spellStart"/>
      <w:r>
        <w:rPr>
          <w:lang w:val="en-US"/>
        </w:rPr>
        <w:t>backoff</w:t>
      </w:r>
      <w:proofErr w:type="spellEnd"/>
      <w:r>
        <w:rPr>
          <w:lang w:val="en-US"/>
        </w:rPr>
        <w:t>. Those should be looked</w:t>
      </w:r>
      <w:r w:rsidR="00294C19">
        <w:rPr>
          <w:lang w:val="en-US"/>
        </w:rPr>
        <w:t xml:space="preserve"> at</w:t>
      </w:r>
      <w:r>
        <w:rPr>
          <w:lang w:val="en-US"/>
        </w:rPr>
        <w:t xml:space="preserve"> in conjunction with air-interface impact and network/device complexity when </w:t>
      </w:r>
      <w:r w:rsidR="00294C19">
        <w:rPr>
          <w:lang w:val="en-US"/>
        </w:rPr>
        <w:t>investigating</w:t>
      </w:r>
      <w:r>
        <w:rPr>
          <w:lang w:val="en-US"/>
        </w:rPr>
        <w:t xml:space="preserve"> the suitable choice of waveform for NR&gt;52.6GHz.</w:t>
      </w:r>
    </w:p>
    <w:p w14:paraId="776355A7" w14:textId="2C4355C2" w:rsidR="007C18F0" w:rsidRDefault="007C18F0" w:rsidP="00A9315E">
      <w:pPr>
        <w:pStyle w:val="B3"/>
        <w:spacing w:after="120" w:line="240" w:lineRule="exact"/>
        <w:ind w:left="0" w:firstLine="0"/>
        <w:rPr>
          <w:lang w:val="en-US"/>
        </w:rPr>
      </w:pPr>
      <w:r>
        <w:rPr>
          <w:lang w:val="en-US"/>
        </w:rPr>
        <w:t xml:space="preserve">Note that the same single waveform solution for the entire range of 52.6GHz through 114.25GHz also requires careful consideration vis-à-vis implementation and commercial aspects. </w:t>
      </w:r>
    </w:p>
    <w:p w14:paraId="41778F20" w14:textId="5CD175E6" w:rsidR="00275B86" w:rsidRDefault="000A4002" w:rsidP="000A4002">
      <w:pPr>
        <w:pStyle w:val="Heading1"/>
        <w:rPr>
          <w:rFonts w:eastAsia="SimSun"/>
        </w:rPr>
      </w:pPr>
      <w:r>
        <w:rPr>
          <w:rFonts w:eastAsia="SimSun"/>
        </w:rPr>
        <w:t>3</w:t>
      </w:r>
      <w:r>
        <w:rPr>
          <w:rFonts w:eastAsia="SimSun"/>
        </w:rPr>
        <w:tab/>
      </w:r>
      <w:r w:rsidR="00275B86">
        <w:rPr>
          <w:rFonts w:eastAsia="SimSun"/>
        </w:rPr>
        <w:t>Conclusion</w:t>
      </w:r>
    </w:p>
    <w:p w14:paraId="0AFA0ECD" w14:textId="16F28450" w:rsidR="007C18F0" w:rsidRDefault="007C18F0" w:rsidP="007C18F0">
      <w:pPr>
        <w:spacing w:line="240" w:lineRule="exact"/>
        <w:rPr>
          <w:rFonts w:eastAsia="SimSun"/>
        </w:rPr>
      </w:pPr>
      <w:r>
        <w:rPr>
          <w:rFonts w:eastAsia="SimSun"/>
        </w:rPr>
        <w:t>In this contribution we have presented the main characteristics defining bands beyond 52.6GHz. These characteristics</w:t>
      </w:r>
      <w:r w:rsidR="00294C19">
        <w:rPr>
          <w:rFonts w:eastAsia="SimSun"/>
        </w:rPr>
        <w:t xml:space="preserve">, in our opinion, should </w:t>
      </w:r>
      <w:r>
        <w:rPr>
          <w:rFonts w:eastAsia="SimSun"/>
        </w:rPr>
        <w:t xml:space="preserve">shape the design of NR for operation at these very high frequency bands, including the possibility of a new waveform choice. </w:t>
      </w:r>
    </w:p>
    <w:p w14:paraId="4A3F124D" w14:textId="10301298" w:rsidR="007C18F0" w:rsidRDefault="007C18F0" w:rsidP="007C18F0">
      <w:pPr>
        <w:spacing w:line="240" w:lineRule="exact"/>
        <w:rPr>
          <w:rFonts w:eastAsia="SimSun"/>
        </w:rPr>
      </w:pPr>
      <w:r>
        <w:rPr>
          <w:rFonts w:eastAsia="SimSun"/>
        </w:rPr>
        <w:t xml:space="preserve">We propose to continue discussing these aspects to improve our understanding of what it will take to define NR for these bands and to have a better handle of the different trade-offs (e.g., performance, complexity, time-to-market, development, etc.). </w:t>
      </w:r>
    </w:p>
    <w:p w14:paraId="5BA7CEA0" w14:textId="684B0B05" w:rsidR="00002AC6" w:rsidRDefault="00002AC6" w:rsidP="007C18F0">
      <w:pPr>
        <w:spacing w:line="240" w:lineRule="exact"/>
        <w:rPr>
          <w:rFonts w:eastAsia="SimSun"/>
        </w:rPr>
      </w:pPr>
      <w:r>
        <w:rPr>
          <w:rFonts w:eastAsia="SimSun"/>
        </w:rPr>
        <w:lastRenderedPageBreak/>
        <w:t>The range between 52.6GHz and 114.25GHz is very wide, namely 61.65GHz. As such, it is important to consider whether a single</w:t>
      </w:r>
      <w:r w:rsidR="007C18F0">
        <w:rPr>
          <w:rFonts w:eastAsia="SimSun"/>
        </w:rPr>
        <w:t xml:space="preserve"> solution to address NR beyond 52.6GHz is </w:t>
      </w:r>
      <w:r>
        <w:rPr>
          <w:rFonts w:eastAsia="SimSun"/>
        </w:rPr>
        <w:t xml:space="preserve">adequate. </w:t>
      </w:r>
    </w:p>
    <w:p w14:paraId="368A25F3" w14:textId="248567F9" w:rsidR="00040FC3" w:rsidRDefault="00040FC3" w:rsidP="00040FC3">
      <w:pPr>
        <w:pStyle w:val="Heading1"/>
        <w:rPr>
          <w:rFonts w:eastAsia="SimSun"/>
        </w:rPr>
      </w:pPr>
      <w:r>
        <w:rPr>
          <w:rFonts w:eastAsia="SimSun"/>
        </w:rPr>
        <w:t>References</w:t>
      </w:r>
    </w:p>
    <w:p w14:paraId="7B4E23C2" w14:textId="45B304D5" w:rsidR="00197209" w:rsidRDefault="00040FC3" w:rsidP="00B91A6F">
      <w:pPr>
        <w:rPr>
          <w:rFonts w:eastAsia="SimSun"/>
        </w:rPr>
      </w:pPr>
      <w:r>
        <w:rPr>
          <w:rFonts w:eastAsia="SimSun"/>
        </w:rPr>
        <w:t>[1]. RP-182861, “</w:t>
      </w:r>
      <w:r w:rsidRPr="00040FC3">
        <w:rPr>
          <w:rFonts w:eastAsia="SimSun"/>
        </w:rPr>
        <w:t>Revised SID on Study on NR beyond 52.6GHz</w:t>
      </w:r>
      <w:r>
        <w:rPr>
          <w:rFonts w:eastAsia="SimSun"/>
        </w:rPr>
        <w:t>”</w:t>
      </w:r>
      <w:r w:rsidR="00197209">
        <w:rPr>
          <w:rFonts w:eastAsia="SimSun"/>
        </w:rPr>
        <w:t>.</w:t>
      </w:r>
    </w:p>
    <w:p w14:paraId="2C6795DA" w14:textId="1193F02D" w:rsidR="00040FC3" w:rsidRPr="00B91A6F" w:rsidRDefault="00F82C7A" w:rsidP="00B91A6F">
      <w:pPr>
        <w:rPr>
          <w:rFonts w:eastAsia="SimSun"/>
        </w:rPr>
      </w:pPr>
      <w:r>
        <w:rPr>
          <w:rFonts w:eastAsia="SimSun"/>
        </w:rPr>
        <w:t>[</w:t>
      </w:r>
      <w:r w:rsidR="008532A4">
        <w:rPr>
          <w:rFonts w:eastAsia="SimSun"/>
        </w:rPr>
        <w:t>2</w:t>
      </w:r>
      <w:r>
        <w:rPr>
          <w:rFonts w:eastAsia="SimSun"/>
        </w:rPr>
        <w:t>]. TR 38.807</w:t>
      </w:r>
      <w:r w:rsidR="008532A4">
        <w:rPr>
          <w:rFonts w:eastAsia="SimSun"/>
        </w:rPr>
        <w:t xml:space="preserve"> v0.1.0</w:t>
      </w:r>
      <w:r>
        <w:rPr>
          <w:rFonts w:eastAsia="SimSun"/>
        </w:rPr>
        <w:t>. “</w:t>
      </w:r>
      <w:r w:rsidRPr="00F82C7A">
        <w:rPr>
          <w:rFonts w:eastAsia="SimSun"/>
        </w:rPr>
        <w:t>Study on NR beyond 52.6 GHz</w:t>
      </w:r>
      <w:r>
        <w:rPr>
          <w:rFonts w:eastAsia="SimSun"/>
        </w:rPr>
        <w:t>”.</w:t>
      </w:r>
    </w:p>
    <w:sectPr w:rsidR="00040FC3" w:rsidRPr="00B91A6F">
      <w:footerReference w:type="default" r:id="rId11"/>
      <w:pgSz w:w="11906" w:h="16838"/>
      <w:pgMar w:top="1440" w:right="1440" w:bottom="1440" w:left="144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3F947" w14:textId="77777777" w:rsidR="000D16D7" w:rsidRDefault="000D16D7">
      <w:pPr>
        <w:spacing w:after="0"/>
      </w:pPr>
      <w:r>
        <w:separator/>
      </w:r>
    </w:p>
  </w:endnote>
  <w:endnote w:type="continuationSeparator" w:id="0">
    <w:p w14:paraId="11BF0CEE" w14:textId="77777777" w:rsidR="000D16D7" w:rsidRDefault="000D16D7">
      <w:pPr>
        <w:spacing w:after="0"/>
      </w:pPr>
      <w:r>
        <w:continuationSeparator/>
      </w:r>
    </w:p>
  </w:endnote>
  <w:endnote w:type="continuationNotice" w:id="1">
    <w:p w14:paraId="18B4DAA1" w14:textId="77777777" w:rsidR="000D16D7" w:rsidRDefault="000D1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EB76E" w14:textId="77777777" w:rsidR="000D16D7" w:rsidRDefault="000D16D7">
      <w:pPr>
        <w:spacing w:after="0"/>
      </w:pPr>
      <w:r>
        <w:separator/>
      </w:r>
    </w:p>
  </w:footnote>
  <w:footnote w:type="continuationSeparator" w:id="0">
    <w:p w14:paraId="0536C226" w14:textId="77777777" w:rsidR="000D16D7" w:rsidRDefault="000D16D7">
      <w:pPr>
        <w:spacing w:after="0"/>
      </w:pPr>
      <w:r>
        <w:continuationSeparator/>
      </w:r>
    </w:p>
  </w:footnote>
  <w:footnote w:type="continuationNotice" w:id="1">
    <w:p w14:paraId="71B71F66" w14:textId="77777777" w:rsidR="000D16D7" w:rsidRDefault="000D16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6469B"/>
    <w:multiLevelType w:val="hybridMultilevel"/>
    <w:tmpl w:val="F8383102"/>
    <w:lvl w:ilvl="0" w:tplc="D13693D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60357A"/>
    <w:multiLevelType w:val="hybridMultilevel"/>
    <w:tmpl w:val="A98E5F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1280E"/>
    <w:multiLevelType w:val="multilevel"/>
    <w:tmpl w:val="B9EC17D6"/>
    <w:lvl w:ilvl="0">
      <w:start w:val="2"/>
      <w:numFmt w:val="decimal"/>
      <w:lvlText w:val="%1"/>
      <w:lvlJc w:val="left"/>
      <w:pPr>
        <w:ind w:left="456" w:hanging="456"/>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7"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96E112D"/>
    <w:multiLevelType w:val="multilevel"/>
    <w:tmpl w:val="8E502102"/>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AF1B7B"/>
    <w:multiLevelType w:val="hybridMultilevel"/>
    <w:tmpl w:val="0A54B8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784731"/>
    <w:multiLevelType w:val="hybridMultilevel"/>
    <w:tmpl w:val="E1A62D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4D27DD"/>
    <w:multiLevelType w:val="hybridMultilevel"/>
    <w:tmpl w:val="DF1AA1A2"/>
    <w:lvl w:ilvl="0" w:tplc="85E8B5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A62754D"/>
    <w:multiLevelType w:val="hybridMultilevel"/>
    <w:tmpl w:val="58C01D54"/>
    <w:lvl w:ilvl="0" w:tplc="6C12656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79B31E32"/>
    <w:multiLevelType w:val="multilevel"/>
    <w:tmpl w:val="19FA10F6"/>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1"/>
  </w:num>
  <w:num w:numId="2">
    <w:abstractNumId w:val="7"/>
  </w:num>
  <w:num w:numId="3">
    <w:abstractNumId w:val="25"/>
  </w:num>
  <w:num w:numId="4">
    <w:abstractNumId w:val="2"/>
  </w:num>
  <w:num w:numId="5">
    <w:abstractNumId w:val="15"/>
  </w:num>
  <w:num w:numId="6">
    <w:abstractNumId w:val="9"/>
  </w:num>
  <w:num w:numId="7">
    <w:abstractNumId w:val="29"/>
  </w:num>
  <w:num w:numId="8">
    <w:abstractNumId w:val="29"/>
  </w:num>
  <w:num w:numId="9">
    <w:abstractNumId w:val="14"/>
  </w:num>
  <w:num w:numId="10">
    <w:abstractNumId w:val="24"/>
  </w:num>
  <w:num w:numId="11">
    <w:abstractNumId w:val="26"/>
  </w:num>
  <w:num w:numId="12">
    <w:abstractNumId w:val="32"/>
  </w:num>
  <w:num w:numId="13">
    <w:abstractNumId w:val="4"/>
  </w:num>
  <w:num w:numId="14">
    <w:abstractNumId w:val="30"/>
  </w:num>
  <w:num w:numId="15">
    <w:abstractNumId w:val="12"/>
  </w:num>
  <w:num w:numId="16">
    <w:abstractNumId w:val="1"/>
  </w:num>
  <w:num w:numId="17">
    <w:abstractNumId w:val="11"/>
  </w:num>
  <w:num w:numId="18">
    <w:abstractNumId w:val="0"/>
  </w:num>
  <w:num w:numId="19">
    <w:abstractNumId w:val="27"/>
  </w:num>
  <w:num w:numId="20">
    <w:abstractNumId w:val="13"/>
  </w:num>
  <w:num w:numId="21">
    <w:abstractNumId w:val="18"/>
  </w:num>
  <w:num w:numId="22">
    <w:abstractNumId w:val="8"/>
  </w:num>
  <w:num w:numId="23">
    <w:abstractNumId w:val="17"/>
  </w:num>
  <w:num w:numId="24">
    <w:abstractNumId w:val="16"/>
  </w:num>
  <w:num w:numId="25">
    <w:abstractNumId w:val="10"/>
  </w:num>
  <w:num w:numId="26">
    <w:abstractNumId w:val="23"/>
  </w:num>
  <w:num w:numId="27">
    <w:abstractNumId w:val="3"/>
  </w:num>
  <w:num w:numId="28">
    <w:abstractNumId w:val="19"/>
  </w:num>
  <w:num w:numId="29">
    <w:abstractNumId w:val="20"/>
  </w:num>
  <w:num w:numId="30">
    <w:abstractNumId w:val="28"/>
  </w:num>
  <w:num w:numId="31">
    <w:abstractNumId w:val="6"/>
  </w:num>
  <w:num w:numId="32">
    <w:abstractNumId w:val="31"/>
  </w:num>
  <w:num w:numId="33">
    <w:abstractNumId w:val="5"/>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AC6"/>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0FC3"/>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0CB7"/>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D67"/>
    <w:rsid w:val="000A3148"/>
    <w:rsid w:val="000A4002"/>
    <w:rsid w:val="000A4353"/>
    <w:rsid w:val="000A4BBF"/>
    <w:rsid w:val="000A56D6"/>
    <w:rsid w:val="000A5961"/>
    <w:rsid w:val="000A61B4"/>
    <w:rsid w:val="000A6DD5"/>
    <w:rsid w:val="000A76F5"/>
    <w:rsid w:val="000B005A"/>
    <w:rsid w:val="000B0B37"/>
    <w:rsid w:val="000B0BD2"/>
    <w:rsid w:val="000B1364"/>
    <w:rsid w:val="000B1395"/>
    <w:rsid w:val="000B1994"/>
    <w:rsid w:val="000B2250"/>
    <w:rsid w:val="000B241B"/>
    <w:rsid w:val="000B2489"/>
    <w:rsid w:val="000B2764"/>
    <w:rsid w:val="000B310B"/>
    <w:rsid w:val="000B3238"/>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16D7"/>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5068"/>
    <w:rsid w:val="000E58FE"/>
    <w:rsid w:val="000E5908"/>
    <w:rsid w:val="000E59B2"/>
    <w:rsid w:val="000E5E31"/>
    <w:rsid w:val="000E6154"/>
    <w:rsid w:val="000E678C"/>
    <w:rsid w:val="000E67E3"/>
    <w:rsid w:val="000E711A"/>
    <w:rsid w:val="000E7317"/>
    <w:rsid w:val="000F1992"/>
    <w:rsid w:val="000F2105"/>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209"/>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4C19"/>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DD5"/>
    <w:rsid w:val="00473719"/>
    <w:rsid w:val="00473B2C"/>
    <w:rsid w:val="0047433B"/>
    <w:rsid w:val="004744E0"/>
    <w:rsid w:val="004748C4"/>
    <w:rsid w:val="00474D1B"/>
    <w:rsid w:val="004750FA"/>
    <w:rsid w:val="004753C9"/>
    <w:rsid w:val="00475623"/>
    <w:rsid w:val="00475D5E"/>
    <w:rsid w:val="00475FF6"/>
    <w:rsid w:val="004761B7"/>
    <w:rsid w:val="004762EE"/>
    <w:rsid w:val="004765ED"/>
    <w:rsid w:val="00477AB8"/>
    <w:rsid w:val="00480170"/>
    <w:rsid w:val="004805A6"/>
    <w:rsid w:val="0048085A"/>
    <w:rsid w:val="00481515"/>
    <w:rsid w:val="00481709"/>
    <w:rsid w:val="00481715"/>
    <w:rsid w:val="00482FC5"/>
    <w:rsid w:val="004832D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5019"/>
    <w:rsid w:val="0051601C"/>
    <w:rsid w:val="005164E5"/>
    <w:rsid w:val="00516E90"/>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B6C"/>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F49"/>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2E0E"/>
    <w:rsid w:val="00672FFD"/>
    <w:rsid w:val="0067336D"/>
    <w:rsid w:val="0067398C"/>
    <w:rsid w:val="00673C84"/>
    <w:rsid w:val="00674372"/>
    <w:rsid w:val="006757A4"/>
    <w:rsid w:val="0067656A"/>
    <w:rsid w:val="00676EE1"/>
    <w:rsid w:val="00677004"/>
    <w:rsid w:val="00680BB4"/>
    <w:rsid w:val="00681977"/>
    <w:rsid w:val="00682CCD"/>
    <w:rsid w:val="00683738"/>
    <w:rsid w:val="00684312"/>
    <w:rsid w:val="006846EA"/>
    <w:rsid w:val="00684FC6"/>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5E9"/>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7A10"/>
    <w:rsid w:val="00717E11"/>
    <w:rsid w:val="00717F62"/>
    <w:rsid w:val="00721D75"/>
    <w:rsid w:val="00721DF8"/>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8F0"/>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2C0"/>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15C"/>
    <w:rsid w:val="008514A2"/>
    <w:rsid w:val="00851CC6"/>
    <w:rsid w:val="00851FF5"/>
    <w:rsid w:val="00852DD2"/>
    <w:rsid w:val="00853245"/>
    <w:rsid w:val="008532A4"/>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223C"/>
    <w:rsid w:val="009225A5"/>
    <w:rsid w:val="00923F53"/>
    <w:rsid w:val="00924573"/>
    <w:rsid w:val="00924581"/>
    <w:rsid w:val="0092468D"/>
    <w:rsid w:val="00924690"/>
    <w:rsid w:val="00924725"/>
    <w:rsid w:val="00924801"/>
    <w:rsid w:val="00924A27"/>
    <w:rsid w:val="00926466"/>
    <w:rsid w:val="00926607"/>
    <w:rsid w:val="00926C82"/>
    <w:rsid w:val="00926DB6"/>
    <w:rsid w:val="00927DE0"/>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197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871"/>
    <w:rsid w:val="00A30AB2"/>
    <w:rsid w:val="00A30CEF"/>
    <w:rsid w:val="00A31090"/>
    <w:rsid w:val="00A311C0"/>
    <w:rsid w:val="00A31492"/>
    <w:rsid w:val="00A31A3E"/>
    <w:rsid w:val="00A31F09"/>
    <w:rsid w:val="00A3224A"/>
    <w:rsid w:val="00A3238B"/>
    <w:rsid w:val="00A3309A"/>
    <w:rsid w:val="00A33327"/>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15E"/>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6504"/>
    <w:rsid w:val="00B26ED0"/>
    <w:rsid w:val="00B270B0"/>
    <w:rsid w:val="00B274AE"/>
    <w:rsid w:val="00B27955"/>
    <w:rsid w:val="00B279BA"/>
    <w:rsid w:val="00B30012"/>
    <w:rsid w:val="00B300AE"/>
    <w:rsid w:val="00B30265"/>
    <w:rsid w:val="00B30A31"/>
    <w:rsid w:val="00B31A5C"/>
    <w:rsid w:val="00B31A64"/>
    <w:rsid w:val="00B3331C"/>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5F77"/>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46E9"/>
    <w:rsid w:val="00B84803"/>
    <w:rsid w:val="00B84FAB"/>
    <w:rsid w:val="00B85ED2"/>
    <w:rsid w:val="00B860DB"/>
    <w:rsid w:val="00B86533"/>
    <w:rsid w:val="00B87098"/>
    <w:rsid w:val="00B87418"/>
    <w:rsid w:val="00B87D05"/>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68F"/>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0A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29D"/>
    <w:rsid w:val="00C21596"/>
    <w:rsid w:val="00C221C8"/>
    <w:rsid w:val="00C22278"/>
    <w:rsid w:val="00C224D8"/>
    <w:rsid w:val="00C228FF"/>
    <w:rsid w:val="00C22CB0"/>
    <w:rsid w:val="00C2312A"/>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112B"/>
    <w:rsid w:val="00C32AB4"/>
    <w:rsid w:val="00C32C92"/>
    <w:rsid w:val="00C33857"/>
    <w:rsid w:val="00C340B3"/>
    <w:rsid w:val="00C34C3A"/>
    <w:rsid w:val="00C36519"/>
    <w:rsid w:val="00C370EC"/>
    <w:rsid w:val="00C37624"/>
    <w:rsid w:val="00C3771F"/>
    <w:rsid w:val="00C3775C"/>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54E"/>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07B"/>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364A"/>
    <w:rsid w:val="00D443FF"/>
    <w:rsid w:val="00D44489"/>
    <w:rsid w:val="00D44A5D"/>
    <w:rsid w:val="00D44B40"/>
    <w:rsid w:val="00D5291E"/>
    <w:rsid w:val="00D52C62"/>
    <w:rsid w:val="00D52C79"/>
    <w:rsid w:val="00D530BB"/>
    <w:rsid w:val="00D532B2"/>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9F2"/>
    <w:rsid w:val="00DF5F11"/>
    <w:rsid w:val="00DF627B"/>
    <w:rsid w:val="00DF671E"/>
    <w:rsid w:val="00DF674C"/>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494"/>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6AA"/>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E2"/>
    <w:rsid w:val="00E43D2B"/>
    <w:rsid w:val="00E43DF4"/>
    <w:rsid w:val="00E4450C"/>
    <w:rsid w:val="00E450E2"/>
    <w:rsid w:val="00E453FD"/>
    <w:rsid w:val="00E45739"/>
    <w:rsid w:val="00E458AE"/>
    <w:rsid w:val="00E46D30"/>
    <w:rsid w:val="00E502C5"/>
    <w:rsid w:val="00E502CC"/>
    <w:rsid w:val="00E50457"/>
    <w:rsid w:val="00E5056F"/>
    <w:rsid w:val="00E50CC7"/>
    <w:rsid w:val="00E50D25"/>
    <w:rsid w:val="00E50E9E"/>
    <w:rsid w:val="00E51472"/>
    <w:rsid w:val="00E51C55"/>
    <w:rsid w:val="00E524DD"/>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1EB1"/>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E1F"/>
    <w:rsid w:val="00EB1F93"/>
    <w:rsid w:val="00EB20AC"/>
    <w:rsid w:val="00EB2E8C"/>
    <w:rsid w:val="00EB3416"/>
    <w:rsid w:val="00EB36E3"/>
    <w:rsid w:val="00EB515D"/>
    <w:rsid w:val="00EB5539"/>
    <w:rsid w:val="00EB5E54"/>
    <w:rsid w:val="00EB6060"/>
    <w:rsid w:val="00EB606F"/>
    <w:rsid w:val="00EB6EDF"/>
    <w:rsid w:val="00EB7621"/>
    <w:rsid w:val="00EB79A7"/>
    <w:rsid w:val="00EB7CD7"/>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ED"/>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EF6"/>
    <w:rsid w:val="00F77F62"/>
    <w:rsid w:val="00F805B3"/>
    <w:rsid w:val="00F81896"/>
    <w:rsid w:val="00F82C7A"/>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EA2"/>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link w:val="ListParagraph5"/>
    <w:uiPriority w:val="99"/>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E6JD2UEEJPRS-638-467</_dlc_DocId>
    <_dlc_DocIdUrl xmlns="fcd3d3fb-7db8-45fe-8d4c-f8dfce4af462">
      <Url>https://sharepoint.qualcomm.com/qca/LocationTechnology/ExternalFocus/_layouts/15/DocIdRedir.aspx?ID=E6JD2UEEJPRS-638-467</Url>
      <Description>E6JD2UEEJPRS-638-467</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F7D7B2-0315-4D76-9CD9-909193A11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3.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4.xml><?xml version="1.0" encoding="utf-8"?>
<ds:datastoreItem xmlns:ds="http://schemas.openxmlformats.org/officeDocument/2006/customXml" ds:itemID="{CDB98FC6-1969-4652-BAA6-1D6D25EC35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949</Words>
  <Characters>5410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3</cp:revision>
  <cp:lastPrinted>2019-03-11T11:44:00Z</cp:lastPrinted>
  <dcterms:created xsi:type="dcterms:W3CDTF">2019-05-27T21:45:00Z</dcterms:created>
  <dcterms:modified xsi:type="dcterms:W3CDTF">2019-05-27T21:53:00Z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0x01010003C4687DC85EF94B8CD2A1737A23E91A</vt:lpwstr>
  </property>
  <property fmtid="{D5CDD505-2E9C-101B-9397-08002B2CF9AE}" pid="8" name="_dlc_DocIdItemGuid">
    <vt:lpwstr>c51cd138-bad3-4af9-921e-b5e9bb91829b</vt:lpwstr>
  </property>
  <property fmtid="{D5CDD505-2E9C-101B-9397-08002B2CF9AE}" pid="9" name="_NewReviewCycle">
    <vt:lpwstr/>
  </property>
  <property fmtid="{D5CDD505-2E9C-101B-9397-08002B2CF9AE}" pid="10" name="Tags">
    <vt:lpwstr/>
  </property>
</Properties>
</file>